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327" w:rsidRPr="00C74E55" w:rsidRDefault="00C74E55" w:rsidP="00C74E55">
      <w:pPr>
        <w:spacing w:line="440" w:lineRule="exact"/>
        <w:jc w:val="center"/>
        <w:rPr>
          <w:rFonts w:ascii="黑体" w:eastAsia="黑体" w:hAnsi="黑体" w:hint="eastAsia"/>
          <w:b/>
          <w:bCs/>
          <w:color w:val="292929"/>
          <w:sz w:val="36"/>
          <w:szCs w:val="36"/>
        </w:rPr>
      </w:pPr>
      <w:r w:rsidRPr="00C74E55">
        <w:rPr>
          <w:rFonts w:ascii="黑体" w:eastAsia="黑体" w:hAnsi="黑体" w:hint="eastAsia"/>
          <w:b/>
          <w:bCs/>
          <w:color w:val="292929"/>
          <w:sz w:val="36"/>
          <w:szCs w:val="36"/>
        </w:rPr>
        <w:t>关于严禁党政机关到风景名胜区开会的通知</w:t>
      </w:r>
    </w:p>
    <w:p w:rsidR="00C74E55" w:rsidRDefault="00C74E55" w:rsidP="00C74E55">
      <w:pPr>
        <w:spacing w:line="440" w:lineRule="exact"/>
        <w:jc w:val="center"/>
        <w:rPr>
          <w:rFonts w:ascii="黑体" w:eastAsia="黑体" w:hAnsi="黑体" w:hint="eastAsia"/>
          <w:b/>
          <w:bCs/>
          <w:color w:val="292929"/>
          <w:sz w:val="41"/>
          <w:szCs w:val="41"/>
        </w:rPr>
      </w:pPr>
    </w:p>
    <w:p w:rsidR="00C74E55" w:rsidRPr="00C74E55" w:rsidRDefault="00C74E55" w:rsidP="00C74E55">
      <w:pPr>
        <w:spacing w:line="440" w:lineRule="exact"/>
        <w:ind w:firstLineChars="100" w:firstLine="210"/>
        <w:jc w:val="left"/>
        <w:rPr>
          <w:sz w:val="24"/>
          <w:szCs w:val="24"/>
        </w:rPr>
      </w:pPr>
      <w:r w:rsidRPr="00C74E55">
        <w:rPr>
          <w:rFonts w:hint="eastAsia"/>
        </w:rPr>
        <w:t xml:space="preserve">　</w:t>
      </w:r>
      <w:r w:rsidRPr="00C74E55">
        <w:rPr>
          <w:rFonts w:hint="eastAsia"/>
          <w:sz w:val="24"/>
          <w:szCs w:val="24"/>
        </w:rPr>
        <w:t>1998</w:t>
      </w:r>
      <w:r w:rsidRPr="00C74E55">
        <w:rPr>
          <w:rFonts w:hint="eastAsia"/>
          <w:sz w:val="24"/>
          <w:szCs w:val="24"/>
        </w:rPr>
        <w:t>年中央办公厅、国务院办公厅下发《关于严禁党政机关到风景名胜区开会的通知》以来，各级党政机关到风景名胜区尤其是到中央明令禁止的</w:t>
      </w:r>
      <w:r w:rsidRPr="00C74E55">
        <w:rPr>
          <w:rFonts w:hint="eastAsia"/>
          <w:sz w:val="24"/>
          <w:szCs w:val="24"/>
        </w:rPr>
        <w:t>12</w:t>
      </w:r>
      <w:r w:rsidRPr="00C74E55">
        <w:rPr>
          <w:rFonts w:hint="eastAsia"/>
          <w:sz w:val="24"/>
          <w:szCs w:val="24"/>
        </w:rPr>
        <w:t>个风景名胜区开会现象得到了有效遏制。但是，违规到上述风景名胜区开会问题仍未完全杜绝，到其他热点风景名胜区开会以及在风景名胜区外开会到区内旅游的情况时有发生，有的</w:t>
      </w:r>
      <w:bookmarkStart w:id="0" w:name="_GoBack"/>
      <w:bookmarkEnd w:id="0"/>
      <w:r w:rsidRPr="00C74E55">
        <w:rPr>
          <w:rFonts w:hint="eastAsia"/>
          <w:sz w:val="24"/>
          <w:szCs w:val="24"/>
        </w:rPr>
        <w:t>单位还巧立名目组织公款旅游，损害了党和政府形象，广大干部群众对此反映强烈。为深入贯彻落实中央八项规定精神和《党政机关厉行节约反对浪费条例》，坚决杜绝以会议名义到风景名胜区公款旅游等违规行为，经党中央、国务院同意，现就有关事项通知如下。</w:t>
      </w:r>
    </w:p>
    <w:p w:rsidR="00C74E55" w:rsidRPr="00C74E55" w:rsidRDefault="00C74E55" w:rsidP="00C74E55">
      <w:pPr>
        <w:spacing w:line="440" w:lineRule="exact"/>
        <w:jc w:val="left"/>
        <w:rPr>
          <w:rFonts w:hint="eastAsia"/>
          <w:sz w:val="24"/>
          <w:szCs w:val="24"/>
        </w:rPr>
      </w:pPr>
      <w:r w:rsidRPr="00C74E55">
        <w:rPr>
          <w:rFonts w:hint="eastAsia"/>
          <w:sz w:val="24"/>
          <w:szCs w:val="24"/>
        </w:rPr>
        <w:t xml:space="preserve">　　一、各级党政机关一律不得到八达岭－十三陵、承德避暑山庄外八庙、五台山、太湖、普陀山、黄山、九华山、武夷山、庐山、泰山、嵩山、武当山、武陵源（张家界）、白云山、桂林漓江、三亚热带海滨、峨眉山－乐山大佛、九寨沟－黄龙、黄果树、西双版纳、华山</w:t>
      </w:r>
      <w:r w:rsidRPr="00C74E55">
        <w:rPr>
          <w:rFonts w:hint="eastAsia"/>
          <w:sz w:val="24"/>
          <w:szCs w:val="24"/>
        </w:rPr>
        <w:t>21</w:t>
      </w:r>
      <w:r w:rsidRPr="00C74E55">
        <w:rPr>
          <w:rFonts w:hint="eastAsia"/>
          <w:sz w:val="24"/>
          <w:szCs w:val="24"/>
        </w:rPr>
        <w:t>个风景名胜区召开会议，禁止召开会议的区域范围以风景名胜区总体规划确定的核心景区地域范围为准。</w:t>
      </w:r>
    </w:p>
    <w:p w:rsidR="00C74E55" w:rsidRPr="00C74E55" w:rsidRDefault="00C74E55" w:rsidP="00C74E55">
      <w:pPr>
        <w:spacing w:line="440" w:lineRule="exact"/>
        <w:jc w:val="left"/>
        <w:rPr>
          <w:rFonts w:hint="eastAsia"/>
          <w:sz w:val="24"/>
          <w:szCs w:val="24"/>
        </w:rPr>
      </w:pPr>
      <w:r w:rsidRPr="00C74E55">
        <w:rPr>
          <w:rFonts w:hint="eastAsia"/>
          <w:sz w:val="24"/>
          <w:szCs w:val="24"/>
        </w:rPr>
        <w:t xml:space="preserve">　　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rsidR="00C74E55" w:rsidRPr="00C74E55" w:rsidRDefault="00C74E55" w:rsidP="00C74E55">
      <w:pPr>
        <w:spacing w:line="440" w:lineRule="exact"/>
        <w:jc w:val="left"/>
        <w:rPr>
          <w:rFonts w:hint="eastAsia"/>
          <w:sz w:val="24"/>
          <w:szCs w:val="24"/>
        </w:rPr>
      </w:pPr>
      <w:r w:rsidRPr="00C74E55">
        <w:rPr>
          <w:rFonts w:hint="eastAsia"/>
          <w:sz w:val="24"/>
          <w:szCs w:val="24"/>
        </w:rPr>
        <w:t xml:space="preserve">　　会议主办单位要合理安排会议日程，严格遵守报到、离会时限，严禁超出规定时限为参会人员提供食宿，严禁组织与会议无关的参观、考察等活动。</w:t>
      </w:r>
    </w:p>
    <w:p w:rsidR="00C74E55" w:rsidRPr="00C74E55" w:rsidRDefault="00C74E55" w:rsidP="00C74E55">
      <w:pPr>
        <w:spacing w:line="440" w:lineRule="exact"/>
        <w:jc w:val="left"/>
        <w:rPr>
          <w:rFonts w:hint="eastAsia"/>
          <w:sz w:val="24"/>
          <w:szCs w:val="24"/>
        </w:rPr>
      </w:pPr>
      <w:r w:rsidRPr="00C74E55">
        <w:rPr>
          <w:rFonts w:hint="eastAsia"/>
          <w:sz w:val="24"/>
          <w:szCs w:val="24"/>
        </w:rPr>
        <w:t xml:space="preserve">　　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rsidR="00C74E55" w:rsidRPr="00C74E55" w:rsidRDefault="00C74E55" w:rsidP="00C74E55">
      <w:pPr>
        <w:spacing w:line="440" w:lineRule="exact"/>
        <w:jc w:val="left"/>
        <w:rPr>
          <w:rFonts w:hint="eastAsia"/>
          <w:sz w:val="24"/>
          <w:szCs w:val="24"/>
        </w:rPr>
      </w:pPr>
      <w:r w:rsidRPr="00C74E55">
        <w:rPr>
          <w:rFonts w:hint="eastAsia"/>
          <w:sz w:val="24"/>
          <w:szCs w:val="24"/>
        </w:rPr>
        <w:t xml:space="preserve">　　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rsidR="00C74E55" w:rsidRPr="00C74E55" w:rsidRDefault="00C74E55" w:rsidP="00C74E55">
      <w:pPr>
        <w:spacing w:line="440" w:lineRule="exact"/>
        <w:jc w:val="left"/>
        <w:rPr>
          <w:rFonts w:hint="eastAsia"/>
          <w:sz w:val="24"/>
          <w:szCs w:val="24"/>
        </w:rPr>
      </w:pPr>
      <w:r w:rsidRPr="00C74E55">
        <w:rPr>
          <w:rFonts w:hint="eastAsia"/>
          <w:sz w:val="24"/>
          <w:szCs w:val="24"/>
        </w:rPr>
        <w:lastRenderedPageBreak/>
        <w:t xml:space="preserve">　　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rsidR="00C74E55" w:rsidRPr="00C74E55" w:rsidRDefault="00C74E55" w:rsidP="00C74E55">
      <w:pPr>
        <w:spacing w:line="440" w:lineRule="exact"/>
        <w:jc w:val="left"/>
        <w:rPr>
          <w:rFonts w:hint="eastAsia"/>
          <w:sz w:val="24"/>
          <w:szCs w:val="24"/>
        </w:rPr>
      </w:pPr>
      <w:r w:rsidRPr="00C74E55">
        <w:rPr>
          <w:rFonts w:hint="eastAsia"/>
          <w:sz w:val="24"/>
          <w:szCs w:val="24"/>
        </w:rPr>
        <w:t xml:space="preserve">　　六、本通知适用于各级党的机关、人大机关、行政机关、政协机关、审判机关、检察机关，以及工会、共青团、妇联等人民团体和参照公务员法管理的事业单位。</w:t>
      </w:r>
    </w:p>
    <w:p w:rsidR="00C74E55" w:rsidRPr="00C74E55" w:rsidRDefault="00C74E55" w:rsidP="00C74E55">
      <w:pPr>
        <w:spacing w:line="440" w:lineRule="exact"/>
        <w:jc w:val="left"/>
        <w:rPr>
          <w:rFonts w:hint="eastAsia"/>
          <w:sz w:val="24"/>
          <w:szCs w:val="24"/>
        </w:rPr>
      </w:pPr>
      <w:r w:rsidRPr="00C74E55">
        <w:rPr>
          <w:rFonts w:hint="eastAsia"/>
          <w:sz w:val="24"/>
          <w:szCs w:val="24"/>
        </w:rPr>
        <w:t xml:space="preserve">　　七、此前有关规定与本通知不一致的，以本通知为准。</w:t>
      </w:r>
    </w:p>
    <w:p w:rsidR="00C74E55" w:rsidRPr="00C74E55" w:rsidRDefault="00C74E55" w:rsidP="00C74E55">
      <w:pPr>
        <w:spacing w:line="440" w:lineRule="exact"/>
        <w:jc w:val="left"/>
        <w:rPr>
          <w:sz w:val="24"/>
          <w:szCs w:val="24"/>
        </w:rPr>
      </w:pPr>
    </w:p>
    <w:sectPr w:rsidR="00C74E55" w:rsidRPr="00C74E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DB3" w:rsidRDefault="00611DB3" w:rsidP="00C74E55">
      <w:r>
        <w:separator/>
      </w:r>
    </w:p>
  </w:endnote>
  <w:endnote w:type="continuationSeparator" w:id="0">
    <w:p w:rsidR="00611DB3" w:rsidRDefault="00611DB3" w:rsidP="00C7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roman"/>
    <w:pitch w:val="default"/>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DB3" w:rsidRDefault="00611DB3" w:rsidP="00C74E55">
      <w:r>
        <w:separator/>
      </w:r>
    </w:p>
  </w:footnote>
  <w:footnote w:type="continuationSeparator" w:id="0">
    <w:p w:rsidR="00611DB3" w:rsidRDefault="00611DB3" w:rsidP="00C74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A6"/>
    <w:rsid w:val="00062AA6"/>
    <w:rsid w:val="00404327"/>
    <w:rsid w:val="00611DB3"/>
    <w:rsid w:val="00C7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E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4E55"/>
    <w:rPr>
      <w:sz w:val="18"/>
      <w:szCs w:val="18"/>
    </w:rPr>
  </w:style>
  <w:style w:type="paragraph" w:styleId="a4">
    <w:name w:val="footer"/>
    <w:basedOn w:val="a"/>
    <w:link w:val="Char0"/>
    <w:uiPriority w:val="99"/>
    <w:unhideWhenUsed/>
    <w:rsid w:val="00C74E55"/>
    <w:pPr>
      <w:tabs>
        <w:tab w:val="center" w:pos="4153"/>
        <w:tab w:val="right" w:pos="8306"/>
      </w:tabs>
      <w:snapToGrid w:val="0"/>
      <w:jc w:val="left"/>
    </w:pPr>
    <w:rPr>
      <w:sz w:val="18"/>
      <w:szCs w:val="18"/>
    </w:rPr>
  </w:style>
  <w:style w:type="character" w:customStyle="1" w:styleId="Char0">
    <w:name w:val="页脚 Char"/>
    <w:basedOn w:val="a0"/>
    <w:link w:val="a4"/>
    <w:uiPriority w:val="99"/>
    <w:rsid w:val="00C74E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E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4E55"/>
    <w:rPr>
      <w:sz w:val="18"/>
      <w:szCs w:val="18"/>
    </w:rPr>
  </w:style>
  <w:style w:type="paragraph" w:styleId="a4">
    <w:name w:val="footer"/>
    <w:basedOn w:val="a"/>
    <w:link w:val="Char0"/>
    <w:uiPriority w:val="99"/>
    <w:unhideWhenUsed/>
    <w:rsid w:val="00C74E55"/>
    <w:pPr>
      <w:tabs>
        <w:tab w:val="center" w:pos="4153"/>
        <w:tab w:val="right" w:pos="8306"/>
      </w:tabs>
      <w:snapToGrid w:val="0"/>
      <w:jc w:val="left"/>
    </w:pPr>
    <w:rPr>
      <w:sz w:val="18"/>
      <w:szCs w:val="18"/>
    </w:rPr>
  </w:style>
  <w:style w:type="character" w:customStyle="1" w:styleId="Char0">
    <w:name w:val="页脚 Char"/>
    <w:basedOn w:val="a0"/>
    <w:link w:val="a4"/>
    <w:uiPriority w:val="99"/>
    <w:rsid w:val="00C74E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0841">
      <w:bodyDiv w:val="1"/>
      <w:marLeft w:val="0"/>
      <w:marRight w:val="0"/>
      <w:marTop w:val="0"/>
      <w:marBottom w:val="0"/>
      <w:divBdr>
        <w:top w:val="none" w:sz="0" w:space="0" w:color="auto"/>
        <w:left w:val="none" w:sz="0" w:space="0" w:color="auto"/>
        <w:bottom w:val="none" w:sz="0" w:space="0" w:color="auto"/>
        <w:right w:val="none" w:sz="0" w:space="0" w:color="auto"/>
      </w:divBdr>
      <w:divsChild>
        <w:div w:id="770400033">
          <w:marLeft w:val="0"/>
          <w:marRight w:val="0"/>
          <w:marTop w:val="0"/>
          <w:marBottom w:val="0"/>
          <w:divBdr>
            <w:top w:val="none" w:sz="0" w:space="0" w:color="auto"/>
            <w:left w:val="none" w:sz="0" w:space="0" w:color="auto"/>
            <w:bottom w:val="none" w:sz="0" w:space="0" w:color="auto"/>
            <w:right w:val="none" w:sz="0" w:space="0" w:color="auto"/>
          </w:divBdr>
          <w:divsChild>
            <w:div w:id="693918564">
              <w:marLeft w:val="0"/>
              <w:marRight w:val="0"/>
              <w:marTop w:val="0"/>
              <w:marBottom w:val="0"/>
              <w:divBdr>
                <w:top w:val="none" w:sz="0" w:space="0" w:color="auto"/>
                <w:left w:val="none" w:sz="0" w:space="0" w:color="auto"/>
                <w:bottom w:val="none" w:sz="0" w:space="0" w:color="auto"/>
                <w:right w:val="none" w:sz="0" w:space="0" w:color="auto"/>
              </w:divBdr>
              <w:divsChild>
                <w:div w:id="566690250">
                  <w:marLeft w:val="0"/>
                  <w:marRight w:val="0"/>
                  <w:marTop w:val="0"/>
                  <w:marBottom w:val="0"/>
                  <w:divBdr>
                    <w:top w:val="none" w:sz="0" w:space="0" w:color="auto"/>
                    <w:left w:val="none" w:sz="0" w:space="0" w:color="auto"/>
                    <w:bottom w:val="none" w:sz="0" w:space="0" w:color="auto"/>
                    <w:right w:val="none" w:sz="0" w:space="0" w:color="auto"/>
                  </w:divBdr>
                  <w:divsChild>
                    <w:div w:id="4541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686">
      <w:bodyDiv w:val="1"/>
      <w:marLeft w:val="0"/>
      <w:marRight w:val="0"/>
      <w:marTop w:val="0"/>
      <w:marBottom w:val="0"/>
      <w:divBdr>
        <w:top w:val="none" w:sz="0" w:space="0" w:color="auto"/>
        <w:left w:val="none" w:sz="0" w:space="0" w:color="auto"/>
        <w:bottom w:val="none" w:sz="0" w:space="0" w:color="auto"/>
        <w:right w:val="none" w:sz="0" w:space="0" w:color="auto"/>
      </w:divBdr>
      <w:divsChild>
        <w:div w:id="436297819">
          <w:marLeft w:val="0"/>
          <w:marRight w:val="0"/>
          <w:marTop w:val="0"/>
          <w:marBottom w:val="0"/>
          <w:divBdr>
            <w:top w:val="none" w:sz="0" w:space="0" w:color="auto"/>
            <w:left w:val="none" w:sz="0" w:space="0" w:color="auto"/>
            <w:bottom w:val="none" w:sz="0" w:space="0" w:color="auto"/>
            <w:right w:val="none" w:sz="0" w:space="0" w:color="auto"/>
          </w:divBdr>
          <w:divsChild>
            <w:div w:id="909119857">
              <w:marLeft w:val="0"/>
              <w:marRight w:val="0"/>
              <w:marTop w:val="0"/>
              <w:marBottom w:val="0"/>
              <w:divBdr>
                <w:top w:val="none" w:sz="0" w:space="0" w:color="auto"/>
                <w:left w:val="none" w:sz="0" w:space="0" w:color="auto"/>
                <w:bottom w:val="none" w:sz="0" w:space="0" w:color="auto"/>
                <w:right w:val="none" w:sz="0" w:space="0" w:color="auto"/>
              </w:divBdr>
              <w:divsChild>
                <w:div w:id="976835768">
                  <w:marLeft w:val="0"/>
                  <w:marRight w:val="0"/>
                  <w:marTop w:val="0"/>
                  <w:marBottom w:val="0"/>
                  <w:divBdr>
                    <w:top w:val="none" w:sz="0" w:space="0" w:color="auto"/>
                    <w:left w:val="none" w:sz="0" w:space="0" w:color="auto"/>
                    <w:bottom w:val="none" w:sz="0" w:space="0" w:color="auto"/>
                    <w:right w:val="none" w:sz="0" w:space="0" w:color="auto"/>
                  </w:divBdr>
                  <w:divsChild>
                    <w:div w:id="20777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2019-06-27T07:46:00Z</dcterms:created>
  <dcterms:modified xsi:type="dcterms:W3CDTF">2019-06-27T07:49:00Z</dcterms:modified>
</cp:coreProperties>
</file>